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60C" w:rsidRPr="006450D2" w:rsidRDefault="0046560C" w:rsidP="0046560C">
      <w:pPr>
        <w:snapToGrid w:val="0"/>
        <w:spacing w:line="580" w:lineRule="exact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6450D2">
        <w:rPr>
          <w:rFonts w:ascii="黑体" w:eastAsia="黑体" w:hAnsi="黑体" w:hint="eastAsia"/>
          <w:bCs/>
          <w:color w:val="000000" w:themeColor="text1"/>
          <w:sz w:val="32"/>
          <w:szCs w:val="32"/>
        </w:rPr>
        <w:t>附件1</w:t>
      </w:r>
    </w:p>
    <w:p w:rsidR="0046560C" w:rsidRPr="006450D2" w:rsidRDefault="0046560C" w:rsidP="0046560C">
      <w:pPr>
        <w:snapToGrid w:val="0"/>
        <w:spacing w:line="580" w:lineRule="exact"/>
        <w:jc w:val="center"/>
        <w:rPr>
          <w:rFonts w:ascii="黑体" w:eastAsia="黑体" w:hAnsi="黑体"/>
          <w:bCs/>
          <w:color w:val="000000" w:themeColor="text1"/>
          <w:sz w:val="36"/>
          <w:szCs w:val="36"/>
        </w:rPr>
      </w:pPr>
      <w:bookmarkStart w:id="0" w:name="_GoBack"/>
      <w:r w:rsidRPr="006450D2">
        <w:rPr>
          <w:rFonts w:ascii="黑体" w:eastAsia="黑体" w:hAnsi="黑体" w:hint="eastAsia"/>
          <w:bCs/>
          <w:color w:val="000000" w:themeColor="text1"/>
          <w:sz w:val="36"/>
          <w:szCs w:val="36"/>
        </w:rPr>
        <w:t>省级精品在线开放课程建设标准（试行）</w:t>
      </w:r>
    </w:p>
    <w:bookmarkEnd w:id="0"/>
    <w:p w:rsidR="0046560C" w:rsidRPr="006450D2" w:rsidRDefault="0046560C" w:rsidP="0046560C">
      <w:pPr>
        <w:snapToGrid w:val="0"/>
        <w:spacing w:line="580" w:lineRule="exact"/>
        <w:ind w:firstLine="720"/>
        <w:jc w:val="center"/>
        <w:rPr>
          <w:rFonts w:ascii="黑体" w:eastAsia="黑体" w:hAnsi="黑体"/>
          <w:bCs/>
          <w:color w:val="000000" w:themeColor="text1"/>
          <w:sz w:val="36"/>
          <w:szCs w:val="36"/>
        </w:rPr>
      </w:pPr>
    </w:p>
    <w:p w:rsidR="0046560C" w:rsidRPr="006450D2" w:rsidRDefault="0046560C" w:rsidP="0046560C">
      <w:pPr>
        <w:snapToGrid w:val="0"/>
        <w:spacing w:line="580" w:lineRule="exact"/>
        <w:ind w:firstLine="720"/>
        <w:rPr>
          <w:rFonts w:ascii="黑体" w:eastAsia="黑体" w:hAnsi="黑体"/>
          <w:bCs/>
          <w:color w:val="000000" w:themeColor="text1"/>
          <w:sz w:val="36"/>
          <w:szCs w:val="36"/>
        </w:rPr>
      </w:pPr>
      <w:r w:rsidRPr="006450D2">
        <w:rPr>
          <w:rFonts w:ascii="黑体" w:eastAsia="黑体" w:hAnsi="黑体" w:hint="eastAsia"/>
          <w:bCs/>
          <w:color w:val="000000" w:themeColor="text1"/>
          <w:sz w:val="36"/>
          <w:szCs w:val="36"/>
        </w:rPr>
        <w:t>一、</w:t>
      </w:r>
      <w:r w:rsidRPr="006450D2">
        <w:rPr>
          <w:rFonts w:ascii="黑体" w:eastAsia="黑体" w:hAnsi="黑体" w:hint="eastAsia"/>
          <w:color w:val="000000" w:themeColor="text1"/>
          <w:sz w:val="32"/>
          <w:szCs w:val="32"/>
        </w:rPr>
        <w:t>课程建设总体要求</w:t>
      </w:r>
    </w:p>
    <w:p w:rsidR="0046560C" w:rsidRPr="006450D2" w:rsidRDefault="0046560C" w:rsidP="0046560C">
      <w:pPr>
        <w:snapToGrid w:val="0"/>
        <w:spacing w:line="580" w:lineRule="exact"/>
        <w:ind w:firstLine="640"/>
        <w:rPr>
          <w:rFonts w:eastAsia="仿宋_GB2312"/>
          <w:color w:val="000000" w:themeColor="text1"/>
          <w:sz w:val="32"/>
          <w:szCs w:val="32"/>
        </w:rPr>
      </w:pPr>
      <w:r w:rsidRPr="006450D2">
        <w:rPr>
          <w:rFonts w:eastAsia="仿宋_GB2312"/>
          <w:color w:val="000000" w:themeColor="text1"/>
          <w:sz w:val="32"/>
          <w:szCs w:val="32"/>
        </w:rPr>
        <w:t xml:space="preserve">1. </w:t>
      </w:r>
      <w:r w:rsidRPr="006450D2">
        <w:rPr>
          <w:rFonts w:eastAsia="仿宋_GB2312" w:hint="eastAsia"/>
          <w:color w:val="000000" w:themeColor="text1"/>
          <w:sz w:val="32"/>
          <w:szCs w:val="32"/>
        </w:rPr>
        <w:t>教学内容与资源。根据预设教学目标、学科特点、学生认知规律及教学方式，围绕学科核心概念及教学内容和资源间关系，碎片化组织教学内容及资源、设置教学情境，形成围绕知识点展开、清晰表达知识框架的短视频模块集。每个短视频以</w:t>
      </w:r>
      <w:r w:rsidRPr="006450D2">
        <w:rPr>
          <w:rFonts w:eastAsia="仿宋_GB2312"/>
          <w:color w:val="000000" w:themeColor="text1"/>
          <w:sz w:val="32"/>
          <w:szCs w:val="32"/>
        </w:rPr>
        <w:t>5-15</w:t>
      </w:r>
      <w:r w:rsidRPr="006450D2">
        <w:rPr>
          <w:rFonts w:eastAsia="仿宋_GB2312" w:hint="eastAsia"/>
          <w:color w:val="000000" w:themeColor="text1"/>
          <w:sz w:val="32"/>
          <w:szCs w:val="32"/>
        </w:rPr>
        <w:t>分钟时长为宜，针对各模块知识点或专题应设置内嵌测试的作业题或讨论题，以帮助学习者掌握学习内容或测试学习者学习效果。每门课程应有负责人介绍、课程介绍、教学大纲、预备知识、教学辅导、参考资料、考核方式、在线作业、在线题库和在线答疑等。课程设置应与本校课堂教学的要求相当。</w:t>
      </w:r>
    </w:p>
    <w:p w:rsidR="0046560C" w:rsidRPr="006450D2" w:rsidRDefault="0046560C" w:rsidP="0046560C">
      <w:pPr>
        <w:snapToGrid w:val="0"/>
        <w:spacing w:line="580" w:lineRule="exact"/>
        <w:ind w:firstLine="640"/>
        <w:rPr>
          <w:rFonts w:eastAsia="仿宋_GB2312"/>
          <w:color w:val="000000" w:themeColor="text1"/>
          <w:sz w:val="32"/>
          <w:szCs w:val="32"/>
        </w:rPr>
      </w:pPr>
      <w:r w:rsidRPr="006450D2">
        <w:rPr>
          <w:rFonts w:eastAsia="仿宋_GB2312"/>
          <w:color w:val="000000" w:themeColor="text1"/>
          <w:sz w:val="32"/>
          <w:szCs w:val="32"/>
        </w:rPr>
        <w:t xml:space="preserve">2. </w:t>
      </w:r>
      <w:r w:rsidRPr="006450D2">
        <w:rPr>
          <w:rFonts w:eastAsia="仿宋_GB2312" w:hint="eastAsia"/>
          <w:color w:val="000000" w:themeColor="text1"/>
          <w:sz w:val="32"/>
          <w:szCs w:val="32"/>
        </w:rPr>
        <w:t>教学设计与方法。要遵循有效教学的基本规律，结合在线开放课程教学的特征与需求进行整体的教学设计。围绕教学目标精心设计教学活动，科学规划在线学习资源，明确学业评价策略和学习激励措施。课程设计、教学安排和呈现方式符合学习者移动学习和混合式教学的需求。开展在线学习与课堂教学相结合、翻转课堂等多种方式的课堂教学模式，优先支持具有混合式学习等改革实践经验的课程。</w:t>
      </w:r>
    </w:p>
    <w:p w:rsidR="0046560C" w:rsidRPr="006450D2" w:rsidRDefault="0046560C" w:rsidP="0046560C">
      <w:pPr>
        <w:spacing w:line="580" w:lineRule="exact"/>
        <w:ind w:firstLine="640"/>
        <w:rPr>
          <w:rFonts w:eastAsia="仿宋_GB2312"/>
          <w:color w:val="000000" w:themeColor="text1"/>
          <w:sz w:val="32"/>
          <w:szCs w:val="32"/>
        </w:rPr>
      </w:pPr>
      <w:r w:rsidRPr="006450D2">
        <w:rPr>
          <w:rFonts w:eastAsia="仿宋_GB2312"/>
          <w:color w:val="000000" w:themeColor="text1"/>
          <w:sz w:val="32"/>
          <w:szCs w:val="32"/>
        </w:rPr>
        <w:t xml:space="preserve">3. </w:t>
      </w:r>
      <w:r w:rsidRPr="006450D2">
        <w:rPr>
          <w:rFonts w:eastAsia="仿宋_GB2312" w:hint="eastAsia"/>
          <w:color w:val="000000" w:themeColor="text1"/>
          <w:sz w:val="32"/>
          <w:szCs w:val="32"/>
        </w:rPr>
        <w:t>教学活动与评价。要重视学习任务与活动设计，积极</w:t>
      </w:r>
      <w:r w:rsidRPr="006450D2">
        <w:rPr>
          <w:rFonts w:ascii="仿宋_GB2312" w:eastAsia="仿宋_GB2312" w:hAnsi="宋体" w:hint="eastAsia"/>
          <w:color w:val="000000" w:themeColor="text1"/>
          <w:sz w:val="32"/>
          <w:szCs w:val="32"/>
        </w:rPr>
        <w:t>开展案例式、混合式、探究式等多种教学模式的学习，通过网页插</w:t>
      </w:r>
      <w:r w:rsidRPr="006450D2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入式在线测试、即时网上辅导反馈、线上线下讨论、网上作业提交和批改、网上社区讨论等，</w:t>
      </w:r>
      <w:r w:rsidRPr="006450D2">
        <w:rPr>
          <w:rFonts w:eastAsia="仿宋_GB2312" w:hint="eastAsia"/>
          <w:color w:val="000000" w:themeColor="text1"/>
          <w:sz w:val="32"/>
          <w:szCs w:val="32"/>
        </w:rPr>
        <w:t>促进师生之间、学生之间进行资源共享、问题交流和协作学习。</w:t>
      </w:r>
    </w:p>
    <w:p w:rsidR="0046560C" w:rsidRPr="006450D2" w:rsidRDefault="0046560C" w:rsidP="0046560C">
      <w:pPr>
        <w:spacing w:line="580" w:lineRule="exact"/>
        <w:ind w:firstLine="640"/>
        <w:rPr>
          <w:rFonts w:eastAsia="仿宋_GB2312"/>
          <w:color w:val="000000" w:themeColor="text1"/>
          <w:sz w:val="32"/>
          <w:szCs w:val="32"/>
        </w:rPr>
      </w:pPr>
      <w:r w:rsidRPr="006450D2">
        <w:rPr>
          <w:rFonts w:eastAsia="仿宋_GB2312" w:hint="eastAsia"/>
          <w:color w:val="000000" w:themeColor="text1"/>
          <w:sz w:val="32"/>
          <w:szCs w:val="32"/>
        </w:rPr>
        <w:t>建立多元化学习评价体系，</w:t>
      </w:r>
      <w:proofErr w:type="gramStart"/>
      <w:r w:rsidRPr="006450D2">
        <w:rPr>
          <w:rFonts w:eastAsia="仿宋_GB2312" w:hint="eastAsia"/>
          <w:color w:val="000000" w:themeColor="text1"/>
          <w:sz w:val="32"/>
          <w:szCs w:val="32"/>
        </w:rPr>
        <w:t>探索线</w:t>
      </w:r>
      <w:proofErr w:type="gramEnd"/>
      <w:r w:rsidRPr="006450D2">
        <w:rPr>
          <w:rFonts w:eastAsia="仿宋_GB2312" w:hint="eastAsia"/>
          <w:color w:val="000000" w:themeColor="text1"/>
          <w:sz w:val="32"/>
          <w:szCs w:val="32"/>
        </w:rPr>
        <w:t>上和线下融合，过程性评价与终结性评价相结合的多元化考核评价模式，促进学生自主性学习、过程性学习和体验式学习。课程成绩由过程性考核和终结性考核综合评定。</w:t>
      </w:r>
    </w:p>
    <w:p w:rsidR="0046560C" w:rsidRPr="006450D2" w:rsidRDefault="0046560C" w:rsidP="0046560C">
      <w:pPr>
        <w:spacing w:line="580" w:lineRule="exact"/>
        <w:ind w:firstLine="640"/>
        <w:rPr>
          <w:rFonts w:eastAsia="仿宋_GB2312"/>
          <w:color w:val="000000" w:themeColor="text1"/>
          <w:sz w:val="32"/>
          <w:szCs w:val="32"/>
        </w:rPr>
      </w:pPr>
      <w:r w:rsidRPr="006450D2">
        <w:rPr>
          <w:rFonts w:eastAsia="仿宋_GB2312"/>
          <w:color w:val="000000" w:themeColor="text1"/>
          <w:sz w:val="32"/>
          <w:szCs w:val="32"/>
        </w:rPr>
        <w:t xml:space="preserve">4. </w:t>
      </w:r>
      <w:r w:rsidRPr="006450D2">
        <w:rPr>
          <w:rFonts w:eastAsia="仿宋_GB2312" w:hint="eastAsia"/>
          <w:color w:val="000000" w:themeColor="text1"/>
          <w:sz w:val="32"/>
          <w:szCs w:val="32"/>
        </w:rPr>
        <w:t>教学效果与影响。要注重对教学效果的跟踪评价并开展教学研究工作。基于大数据信息采集分析，</w:t>
      </w:r>
      <w:r w:rsidRPr="006450D2">
        <w:rPr>
          <w:rFonts w:ascii="仿宋_GB2312" w:eastAsia="仿宋_GB2312" w:hAnsi="宋体" w:hint="eastAsia"/>
          <w:color w:val="000000" w:themeColor="text1"/>
          <w:sz w:val="32"/>
          <w:szCs w:val="32"/>
        </w:rPr>
        <w:t>全程记录和跟踪教师的教学和学生的学习过程、内容、反馈，全面跟踪和掌握每个学生的个性特点、学习行为，改进学校及教师的教学质量，促进因材施教。</w:t>
      </w:r>
    </w:p>
    <w:p w:rsidR="0046560C" w:rsidRPr="006450D2" w:rsidRDefault="0046560C" w:rsidP="0046560C">
      <w:pPr>
        <w:snapToGrid w:val="0"/>
        <w:spacing w:line="580" w:lineRule="exact"/>
        <w:ind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6450D2">
        <w:rPr>
          <w:rFonts w:eastAsia="仿宋_GB2312" w:hint="eastAsia"/>
          <w:color w:val="000000" w:themeColor="text1"/>
          <w:sz w:val="32"/>
          <w:szCs w:val="32"/>
        </w:rPr>
        <w:t>充分发挥课程共享作用，推进在线开放课程学分认定和学分管理制度创新。</w:t>
      </w:r>
      <w:r w:rsidRPr="006450D2">
        <w:rPr>
          <w:rFonts w:ascii="仿宋_GB2312" w:eastAsia="仿宋_GB2312" w:hAnsi="宋体" w:hint="eastAsia"/>
          <w:color w:val="000000" w:themeColor="text1"/>
          <w:sz w:val="32"/>
          <w:szCs w:val="32"/>
        </w:rPr>
        <w:t>支持各高校之间在合作、共赢、协议的基础上实现在线开放共享课程的互认。课程的初始学分由推荐该课程的高校设定，其它高校可在双方协议的基础上，根据本校专业设置和课程学分设置标准自行认定学分。</w:t>
      </w:r>
    </w:p>
    <w:p w:rsidR="0046560C" w:rsidRPr="006450D2" w:rsidRDefault="0046560C" w:rsidP="0046560C">
      <w:pPr>
        <w:snapToGrid w:val="0"/>
        <w:spacing w:line="580" w:lineRule="exact"/>
        <w:ind w:firstLine="640"/>
        <w:rPr>
          <w:rFonts w:eastAsia="仿宋_GB2312"/>
          <w:color w:val="000000" w:themeColor="text1"/>
          <w:sz w:val="32"/>
          <w:szCs w:val="32"/>
        </w:rPr>
      </w:pPr>
      <w:r w:rsidRPr="006450D2">
        <w:rPr>
          <w:rFonts w:eastAsia="仿宋_GB2312"/>
          <w:color w:val="000000" w:themeColor="text1"/>
          <w:sz w:val="32"/>
          <w:szCs w:val="32"/>
        </w:rPr>
        <w:t xml:space="preserve">5. </w:t>
      </w:r>
      <w:r w:rsidRPr="006450D2">
        <w:rPr>
          <w:rFonts w:eastAsia="仿宋_GB2312" w:hint="eastAsia"/>
          <w:color w:val="000000" w:themeColor="text1"/>
          <w:sz w:val="32"/>
          <w:szCs w:val="32"/>
        </w:rPr>
        <w:t>团队支持与服务。课程建设负责人应为高校正式聘用，具有丰富的教学经验和较高的学术造诣的教师，课程组成员均在教学一线长期承担本课程教学任务。支持和鼓励教学名师、知名专家主讲开放课程。除主讲教师外，还需配备必要助理教师和现代教育技术人员，能长期在线服务课程建设，承担课程内容更新、</w:t>
      </w:r>
      <w:r w:rsidRPr="006450D2">
        <w:rPr>
          <w:rFonts w:eastAsia="仿宋_GB2312" w:hint="eastAsia"/>
          <w:color w:val="000000" w:themeColor="text1"/>
          <w:sz w:val="32"/>
          <w:szCs w:val="32"/>
        </w:rPr>
        <w:lastRenderedPageBreak/>
        <w:t>在线辅导、答疑等。课程正式运行后，能保证每学年都对外校开放。课程团队应负责课程相关教师的培训及教学研讨工作。通过在线开放课程建设，形成一支教学、辅导、设计和技术支持等结构合理、人员稳定、教学水平高、教学效果好、资源设计和制作能力强的优秀课程教学团队。</w:t>
      </w:r>
    </w:p>
    <w:p w:rsidR="0046560C" w:rsidRPr="006450D2" w:rsidRDefault="0046560C" w:rsidP="0046560C">
      <w:pPr>
        <w:snapToGrid w:val="0"/>
        <w:spacing w:line="580" w:lineRule="exact"/>
        <w:ind w:firstLineChars="150" w:firstLine="480"/>
        <w:rPr>
          <w:rFonts w:eastAsia="仿宋_GB2312"/>
          <w:color w:val="000000" w:themeColor="text1"/>
          <w:sz w:val="32"/>
          <w:szCs w:val="32"/>
        </w:rPr>
      </w:pPr>
      <w:r w:rsidRPr="006450D2">
        <w:rPr>
          <w:rFonts w:eastAsia="仿宋_GB2312"/>
          <w:color w:val="000000" w:themeColor="text1"/>
          <w:sz w:val="32"/>
          <w:szCs w:val="32"/>
        </w:rPr>
        <w:t xml:space="preserve"> 6. </w:t>
      </w:r>
      <w:r w:rsidRPr="006450D2">
        <w:rPr>
          <w:rFonts w:eastAsia="仿宋_GB2312" w:hint="eastAsia"/>
          <w:color w:val="000000" w:themeColor="text1"/>
          <w:sz w:val="32"/>
          <w:szCs w:val="32"/>
        </w:rPr>
        <w:t>信息安全及知识产权保障。严格遵守国家网络与信息安全管理规范，依法依规开展教学活动，实施对课程内容、讨论内容、学习过程内容的有效监管，防范和及时制止网络有害信息的传播。重视版权和知识产权问题，构建课程内容所使用的图片、音视频等素材应注明出处。相关高校、课程建设团队均须签订平等互利的知识产权保障协议，明确各方权利和义务，切实保障各方权益。</w:t>
      </w:r>
    </w:p>
    <w:p w:rsidR="0046560C" w:rsidRPr="006450D2" w:rsidRDefault="0046560C" w:rsidP="0046560C">
      <w:pPr>
        <w:snapToGrid w:val="0"/>
        <w:spacing w:line="580" w:lineRule="exact"/>
        <w:ind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450D2">
        <w:rPr>
          <w:rFonts w:ascii="黑体" w:eastAsia="黑体" w:hAnsi="黑体" w:hint="eastAsia"/>
          <w:color w:val="000000" w:themeColor="text1"/>
          <w:sz w:val="32"/>
          <w:szCs w:val="32"/>
        </w:rPr>
        <w:t>二、课程视频制作规范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（一）视频内容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1.屏幕图像的构图合理，画面主体突出。人像及肢体动作以及配合讲授选用的板书、画板、教具实物、模型和实验设备等均不能超出镜头所及范围。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2.演播室使用的背景采用彩色喷绘或电脑虚拟、实景等背景。建议采用彩色喷绘背景。背景的颜色、图案不易过多，应保持静态，画面应简洁、明快，有利于营造课堂气氛。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3.摄像镜头应保持与主讲教师目光平视的角度。主讲教师不应较长时间仰视或俯视。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lastRenderedPageBreak/>
        <w:t>4.使用资料、图片、外景实拍、实验和表演等形象化教学手段，应符合教学内容要求，与讲授内容联系紧密，手段选用恰当。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5.选用影视作品或自拍素材，应注明素材来源。影视作品或自拍素材中涉及人物访谈内容时，除应加注人物介绍外，还应采用滚动式同声字幕。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6.选用的资料、图片等素材画面应清楚，对于历史资料、图片应进行再加工。选用的资料、图片等素材应注明素材来源及原始信息（如字画的作品、生卒年月，影视片断的作品名称、创作年代等信息）。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7.动画的设计与使用，要与课程内容相贴切，能够发挥良好的教学效果。</w:t>
      </w:r>
    </w:p>
    <w:p w:rsidR="0046560C" w:rsidRPr="006450D2" w:rsidRDefault="0046560C" w:rsidP="0046560C">
      <w:pPr>
        <w:spacing w:line="580" w:lineRule="exact"/>
        <w:ind w:firstLineChars="150" w:firstLine="48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 xml:space="preserve"> 8.动画的实现须流畅、合理、图像清晰，具有较强的可视性。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（二）视频技术规格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1.视频信号源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（1）稳定性：全片图像同步性能稳定，无失步现象，CTL同步控制信号必须连续：图像无抖动跳跃，色彩无突变，编辑点处图像稳定。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（2）信噪比：图像信噪比不低于55dB，无明显杂波。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（3）色调：白平衡正确，无明显偏色，多机拍摄的镜头衔接处无明显色差。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（4）视频电平：视频全讯号幅度为1Ⅴp-p，最大不超过1.1Ⅴ p-p。其中，消隐电平为0V时，白电平幅度0.7Ⅴp-p，同步</w:t>
      </w: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lastRenderedPageBreak/>
        <w:t>信号-0.3V，色同步信号幅度0.3V p-p (以消隐线上下对称)，全片一致。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2.音频信号源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（1）声道：中文内容音频信号记录于第1声道，音乐、音效、同期</w:t>
      </w:r>
      <w:proofErr w:type="gramStart"/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声记录</w:t>
      </w:r>
      <w:proofErr w:type="gramEnd"/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于第2声道，若有其他文字解说记录于第3声道(如录音设备无第3声道,则录于第2声道)。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（2）电平指标：-2db —— -8db声音应无明显失真、放音过冲、过弱。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（3）音频信噪比不低于48db。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（4）声音和画面要求同步，</w:t>
      </w:r>
      <w:proofErr w:type="gramStart"/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无交流</w:t>
      </w:r>
      <w:proofErr w:type="gramEnd"/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声或其他杂音等缺陷。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（5）伴音清晰、饱满、圆润，无失真、噪声杂音干扰、音量忽大忽小现象。解说声与现场声无明显比例失调，解说声与背景音乐无明显比例失调。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3.视频压缩格式及技术参数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（1）视频压缩采用H.264/AVC (MPEG-4 Part10)编码、使用二次编码、不包含字幕的MP4格式。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（2）视频码流率：动态码流的最低码率不得低于1024Kb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（3）视频分辨率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前期采用标清4:3拍摄时，请设定为 720×576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前期采用高清16:9拍摄时，请设定为 1280×720或1920×1080。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（4）视频画幅宽高比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lastRenderedPageBreak/>
        <w:t>分辨率设定为 720×576的，请选定 4:3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分辨率设定为1280×720或1920×1080的，请选定 16:9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（5）</w:t>
      </w:r>
      <w:proofErr w:type="gramStart"/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视频帧率为</w:t>
      </w:r>
      <w:proofErr w:type="gramEnd"/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25帧/秒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（6）扫描方式采用逐行扫描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4.音频压缩格式及技术参数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（1）音频压缩采用AAC(MPEG4 Part3)格式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 xml:space="preserve">（2）采样率48KHz 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（3）音频码流率128Kbps (恒定)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（4）必须是双声道，</w:t>
      </w:r>
      <w:proofErr w:type="gramStart"/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必须做混音</w:t>
      </w:r>
      <w:proofErr w:type="gramEnd"/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处理。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5.封装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采用MP4封装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（三）演示文稿（PPT）制作规范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1.制作原则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（1）演示文稿（PPT）要求集文字、图形、图像、声音以及视频等多种媒体元素于一体，一般不使用纯文字的演示文稿（PPT）。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（2）页面设置要求符合高清格式比例，幻灯片大小为“全屏显示16：</w:t>
      </w:r>
      <w:smartTag w:uri="urn:schemas-microsoft-com:office:smarttags" w:element="chmetcnv">
        <w:smartTagPr>
          <w:attr w:name="UnitName" w:val="”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6450D2">
          <w:rPr>
            <w:rFonts w:ascii="仿宋_GB2312" w:eastAsia="仿宋_GB2312" w:hAnsi="华文仿宋" w:hint="eastAsia"/>
            <w:color w:val="000000" w:themeColor="text1"/>
            <w:sz w:val="32"/>
            <w:szCs w:val="32"/>
          </w:rPr>
          <w:t>9”</w:t>
        </w:r>
      </w:smartTag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（3）整体效果应风格统一、色彩协调、美观大方。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2.字体与字号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字体与字号参照下表：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</w:p>
    <w:tbl>
      <w:tblPr>
        <w:tblpPr w:leftFromText="180" w:rightFromText="180" w:vertAnchor="text" w:horzAnchor="margin" w:tblpX="250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1701"/>
        <w:gridCol w:w="1275"/>
        <w:gridCol w:w="1560"/>
        <w:gridCol w:w="1559"/>
        <w:gridCol w:w="1384"/>
      </w:tblGrid>
      <w:tr w:rsidR="0046560C" w:rsidRPr="006450D2" w:rsidTr="005E44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lastRenderedPageBreak/>
              <w:t>类型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大标题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主讲信息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一级标题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正文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字幕</w:t>
            </w:r>
          </w:p>
        </w:tc>
      </w:tr>
      <w:tr w:rsidR="0046560C" w:rsidRPr="006450D2" w:rsidTr="005E44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字体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大黑、时尚中黑、大隶书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黑体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黑体、魏碑、大宋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雅黑、中宋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雅黑</w:t>
            </w:r>
          </w:p>
        </w:tc>
      </w:tr>
      <w:tr w:rsidR="0046560C" w:rsidRPr="006450D2" w:rsidTr="005E44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字号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50～</w:t>
            </w:r>
            <w:smartTag w:uri="urn:schemas-microsoft-com:office:smarttags" w:element="chmetcnv">
              <w:smartTagPr>
                <w:attr w:name="UnitName" w:val="磅"/>
                <w:attr w:name="SourceValue" w:val="7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450D2">
                <w:rPr>
                  <w:rFonts w:ascii="仿宋_GB2312" w:eastAsia="仿宋_GB2312" w:hAnsi="华文仿宋" w:hint="eastAsia"/>
                  <w:color w:val="000000" w:themeColor="text1"/>
                  <w:sz w:val="24"/>
                  <w:szCs w:val="24"/>
                </w:rPr>
                <w:t>70磅</w:t>
              </w:r>
            </w:smartTag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36～</w:t>
            </w:r>
            <w:smartTag w:uri="urn:schemas-microsoft-com:office:smarttags" w:element="chmetcnv">
              <w:smartTagPr>
                <w:attr w:name="UnitName" w:val="磅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450D2">
                <w:rPr>
                  <w:rFonts w:ascii="仿宋_GB2312" w:eastAsia="仿宋_GB2312" w:hAnsi="华文仿宋" w:hint="eastAsia"/>
                  <w:color w:val="000000" w:themeColor="text1"/>
                  <w:sz w:val="24"/>
                  <w:szCs w:val="24"/>
                </w:rPr>
                <w:t>40磅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36～</w:t>
            </w:r>
            <w:smartTag w:uri="urn:schemas-microsoft-com:office:smarttags" w:element="chmetcnv">
              <w:smartTagPr>
                <w:attr w:name="UnitName" w:val="磅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450D2">
                <w:rPr>
                  <w:rFonts w:ascii="仿宋_GB2312" w:eastAsia="仿宋_GB2312" w:hAnsi="华文仿宋" w:hint="eastAsia"/>
                  <w:color w:val="000000" w:themeColor="text1"/>
                  <w:sz w:val="24"/>
                  <w:szCs w:val="24"/>
                </w:rPr>
                <w:t>40磅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24～</w:t>
            </w:r>
            <w:smartTag w:uri="urn:schemas-microsoft-com:office:smarttags" w:element="chmetcnv">
              <w:smartTagPr>
                <w:attr w:name="UnitName" w:val="磅"/>
                <w:attr w:name="SourceValue" w:val="3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450D2">
                <w:rPr>
                  <w:rFonts w:ascii="仿宋_GB2312" w:eastAsia="仿宋_GB2312" w:hAnsi="华文仿宋" w:hint="eastAsia"/>
                  <w:color w:val="000000" w:themeColor="text1"/>
                  <w:sz w:val="24"/>
                  <w:szCs w:val="24"/>
                </w:rPr>
                <w:t>32磅</w:t>
              </w:r>
            </w:smartTag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smartTag w:uri="urn:schemas-microsoft-com:office:smarttags" w:element="chmetcnv">
              <w:smartTagPr>
                <w:attr w:name="UnitName" w:val="磅"/>
                <w:attr w:name="SourceValue" w:val="3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450D2">
                <w:rPr>
                  <w:rFonts w:ascii="仿宋_GB2312" w:eastAsia="仿宋_GB2312" w:hAnsi="华文仿宋" w:hint="eastAsia"/>
                  <w:color w:val="000000" w:themeColor="text1"/>
                  <w:sz w:val="24"/>
                  <w:szCs w:val="24"/>
                </w:rPr>
                <w:t>32磅</w:t>
              </w:r>
            </w:smartTag>
          </w:p>
        </w:tc>
      </w:tr>
      <w:tr w:rsidR="0046560C" w:rsidRPr="006450D2" w:rsidTr="005E44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应用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上下左右居中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左右居中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左右居中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左对齐</w:t>
            </w:r>
          </w:p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或居中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0C" w:rsidRPr="006450D2" w:rsidRDefault="0046560C" w:rsidP="005E446A">
            <w:pPr>
              <w:spacing w:line="580" w:lineRule="exact"/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  <w:u w:color="000000"/>
              </w:rPr>
            </w:pPr>
            <w:r w:rsidRPr="006450D2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左右居中</w:t>
            </w:r>
          </w:p>
        </w:tc>
      </w:tr>
    </w:tbl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  <w:u w:color="000000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3.版心与版式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每页四周留出空白，应避免内容顶到页面边缘，边界安全区域分别为左、右130像素内，上、下90像素内。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4.背景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（1）背景色以简洁适中饱和度为主（颜色保持在一至两种色系内）；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（2）背景和场景不宜变化过多；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（3）文字、图形等内容应与背景对比醒目。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5.色调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（1）色彩的选配应与课程科目相吻合；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（2）每一短视频或一系列短视频在配色上应体现出系统性，可选一种主色调再加上一至两种辅助色进行匹配；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（3）同一屏里文字不宜超出三种颜色。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6.字距与行距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（1）标题：在文字少的情形下，字距放宽一倍体现舒展性；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lastRenderedPageBreak/>
        <w:t>（2）正文：行距使用1行或1.5行，便于阅读。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7.图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（1）图像应清晰并能反映出内容主题思想，分辨率应上72dpi以上；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（2）图片不可加长或压窄，防止变形；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（3）图形使用应通俗易懂，便于理解。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8.修饰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（1）细线条的运用比粗线条更显精致；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（2）扁平式的装饰更接近时代审美；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（3）有趣味的装饰通常更能吸引人。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9.版权来源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 w:rsidRPr="006450D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素材选用注意版权，涉及版权问题须加入“版权来源”信息。</w:t>
      </w:r>
    </w:p>
    <w:p w:rsidR="0046560C" w:rsidRPr="006450D2" w:rsidRDefault="0046560C" w:rsidP="0046560C">
      <w:pPr>
        <w:spacing w:line="58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46560C" w:rsidRPr="006450D2" w:rsidRDefault="0046560C" w:rsidP="0046560C">
      <w:pPr>
        <w:spacing w:line="580" w:lineRule="exact"/>
        <w:rPr>
          <w:color w:val="000000" w:themeColor="text1"/>
        </w:rPr>
      </w:pPr>
    </w:p>
    <w:p w:rsidR="0046560C" w:rsidRPr="006450D2" w:rsidRDefault="0046560C" w:rsidP="0046560C">
      <w:pPr>
        <w:widowControl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46560C" w:rsidRPr="006450D2" w:rsidRDefault="0046560C" w:rsidP="0046560C">
      <w:pPr>
        <w:widowControl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46560C" w:rsidRPr="006450D2" w:rsidRDefault="0046560C" w:rsidP="0046560C">
      <w:pPr>
        <w:widowControl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46560C" w:rsidRPr="006450D2" w:rsidRDefault="0046560C" w:rsidP="0046560C">
      <w:pPr>
        <w:widowControl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46560C" w:rsidRPr="006450D2" w:rsidRDefault="0046560C" w:rsidP="0046560C">
      <w:pPr>
        <w:widowControl/>
        <w:rPr>
          <w:rFonts w:ascii="黑体" w:eastAsia="黑体" w:hAnsi="黑体" w:cs="黑体"/>
          <w:color w:val="000000" w:themeColor="text1"/>
          <w:sz w:val="32"/>
          <w:szCs w:val="32"/>
        </w:rPr>
      </w:pPr>
    </w:p>
    <w:sectPr w:rsidR="0046560C" w:rsidRPr="006450D2" w:rsidSect="00876F0A">
      <w:footerReference w:type="first" r:id="rId6"/>
      <w:pgSz w:w="11906" w:h="16838" w:code="9"/>
      <w:pgMar w:top="1928" w:right="1531" w:bottom="1928" w:left="1531" w:header="851" w:footer="1247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67D" w:rsidRDefault="00D1467D" w:rsidP="00164567">
      <w:r>
        <w:separator/>
      </w:r>
    </w:p>
  </w:endnote>
  <w:endnote w:type="continuationSeparator" w:id="0">
    <w:p w:rsidR="00D1467D" w:rsidRDefault="00D1467D" w:rsidP="0016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60C" w:rsidRDefault="0046560C" w:rsidP="003269B7">
    <w:pPr>
      <w:pStyle w:val="a5"/>
      <w:jc w:val="center"/>
    </w:pPr>
    <w:r>
      <w:rPr>
        <w:rFonts w:hint="eastAsia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67D" w:rsidRDefault="00D1467D" w:rsidP="00164567">
      <w:r>
        <w:separator/>
      </w:r>
    </w:p>
  </w:footnote>
  <w:footnote w:type="continuationSeparator" w:id="0">
    <w:p w:rsidR="00D1467D" w:rsidRDefault="00D1467D" w:rsidP="00164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67"/>
    <w:rsid w:val="00022AA2"/>
    <w:rsid w:val="0002731E"/>
    <w:rsid w:val="000339A4"/>
    <w:rsid w:val="0003717E"/>
    <w:rsid w:val="00045161"/>
    <w:rsid w:val="00064CB5"/>
    <w:rsid w:val="000C357A"/>
    <w:rsid w:val="000E5D34"/>
    <w:rsid w:val="000F39F1"/>
    <w:rsid w:val="00112207"/>
    <w:rsid w:val="00125283"/>
    <w:rsid w:val="00164567"/>
    <w:rsid w:val="00177C21"/>
    <w:rsid w:val="0018438B"/>
    <w:rsid w:val="001B0DD6"/>
    <w:rsid w:val="001B2510"/>
    <w:rsid w:val="001D419D"/>
    <w:rsid w:val="001F5234"/>
    <w:rsid w:val="00226A7B"/>
    <w:rsid w:val="0025113F"/>
    <w:rsid w:val="0025353B"/>
    <w:rsid w:val="00255283"/>
    <w:rsid w:val="00283058"/>
    <w:rsid w:val="0029121C"/>
    <w:rsid w:val="002A27B3"/>
    <w:rsid w:val="002B2A23"/>
    <w:rsid w:val="002B5198"/>
    <w:rsid w:val="00313B09"/>
    <w:rsid w:val="00314822"/>
    <w:rsid w:val="00321C0C"/>
    <w:rsid w:val="00336D87"/>
    <w:rsid w:val="00336F2A"/>
    <w:rsid w:val="003478E5"/>
    <w:rsid w:val="0035791F"/>
    <w:rsid w:val="003733E4"/>
    <w:rsid w:val="003809F3"/>
    <w:rsid w:val="003927F6"/>
    <w:rsid w:val="003D100C"/>
    <w:rsid w:val="003F3AF2"/>
    <w:rsid w:val="0041044A"/>
    <w:rsid w:val="00444AFF"/>
    <w:rsid w:val="0046560C"/>
    <w:rsid w:val="00473A29"/>
    <w:rsid w:val="00483ACA"/>
    <w:rsid w:val="004E23F5"/>
    <w:rsid w:val="005103EE"/>
    <w:rsid w:val="00535B5A"/>
    <w:rsid w:val="005565E7"/>
    <w:rsid w:val="005924FF"/>
    <w:rsid w:val="005B2ECB"/>
    <w:rsid w:val="005F4BF5"/>
    <w:rsid w:val="006125DC"/>
    <w:rsid w:val="00617B47"/>
    <w:rsid w:val="006307C9"/>
    <w:rsid w:val="006450D2"/>
    <w:rsid w:val="00680CA9"/>
    <w:rsid w:val="00687B92"/>
    <w:rsid w:val="006A765B"/>
    <w:rsid w:val="006B4957"/>
    <w:rsid w:val="006C3431"/>
    <w:rsid w:val="006D1479"/>
    <w:rsid w:val="006E1513"/>
    <w:rsid w:val="006E3FFB"/>
    <w:rsid w:val="006E71CB"/>
    <w:rsid w:val="006F04A9"/>
    <w:rsid w:val="006F4657"/>
    <w:rsid w:val="006F664F"/>
    <w:rsid w:val="0076076A"/>
    <w:rsid w:val="007648D6"/>
    <w:rsid w:val="00772C74"/>
    <w:rsid w:val="00775E48"/>
    <w:rsid w:val="0078008A"/>
    <w:rsid w:val="00782D25"/>
    <w:rsid w:val="00786B67"/>
    <w:rsid w:val="007C4EF7"/>
    <w:rsid w:val="00812D5F"/>
    <w:rsid w:val="00813352"/>
    <w:rsid w:val="00826B8D"/>
    <w:rsid w:val="00840F37"/>
    <w:rsid w:val="00850A27"/>
    <w:rsid w:val="008577D2"/>
    <w:rsid w:val="00876F0A"/>
    <w:rsid w:val="00892449"/>
    <w:rsid w:val="008B0E53"/>
    <w:rsid w:val="008B3370"/>
    <w:rsid w:val="008B3D06"/>
    <w:rsid w:val="008C66B2"/>
    <w:rsid w:val="008D4AB6"/>
    <w:rsid w:val="008E173D"/>
    <w:rsid w:val="0092702A"/>
    <w:rsid w:val="009447F5"/>
    <w:rsid w:val="0098646C"/>
    <w:rsid w:val="00990EC8"/>
    <w:rsid w:val="009C71F4"/>
    <w:rsid w:val="009F6077"/>
    <w:rsid w:val="00A136D6"/>
    <w:rsid w:val="00A24D8F"/>
    <w:rsid w:val="00A302DF"/>
    <w:rsid w:val="00A36F98"/>
    <w:rsid w:val="00A449B0"/>
    <w:rsid w:val="00A508BF"/>
    <w:rsid w:val="00A51FF8"/>
    <w:rsid w:val="00A64B1F"/>
    <w:rsid w:val="00A875DA"/>
    <w:rsid w:val="00AA3314"/>
    <w:rsid w:val="00AC0D77"/>
    <w:rsid w:val="00AC31F3"/>
    <w:rsid w:val="00AE6910"/>
    <w:rsid w:val="00AF718A"/>
    <w:rsid w:val="00B46A37"/>
    <w:rsid w:val="00B4737C"/>
    <w:rsid w:val="00B50A70"/>
    <w:rsid w:val="00B734B9"/>
    <w:rsid w:val="00BA0D1B"/>
    <w:rsid w:val="00BD3D0D"/>
    <w:rsid w:val="00BF0456"/>
    <w:rsid w:val="00C04527"/>
    <w:rsid w:val="00C04A50"/>
    <w:rsid w:val="00C33EAD"/>
    <w:rsid w:val="00C50F95"/>
    <w:rsid w:val="00C767D9"/>
    <w:rsid w:val="00CD7783"/>
    <w:rsid w:val="00CE1DAF"/>
    <w:rsid w:val="00CF4B9B"/>
    <w:rsid w:val="00D10D2F"/>
    <w:rsid w:val="00D1467D"/>
    <w:rsid w:val="00D34237"/>
    <w:rsid w:val="00D40D3E"/>
    <w:rsid w:val="00D45DF5"/>
    <w:rsid w:val="00D72831"/>
    <w:rsid w:val="00D735AF"/>
    <w:rsid w:val="00D85293"/>
    <w:rsid w:val="00D854F0"/>
    <w:rsid w:val="00D87DAF"/>
    <w:rsid w:val="00D956E7"/>
    <w:rsid w:val="00D963E2"/>
    <w:rsid w:val="00DA531D"/>
    <w:rsid w:val="00DA64FD"/>
    <w:rsid w:val="00DA7393"/>
    <w:rsid w:val="00DB2140"/>
    <w:rsid w:val="00DC2575"/>
    <w:rsid w:val="00DD5433"/>
    <w:rsid w:val="00DE7819"/>
    <w:rsid w:val="00DF376E"/>
    <w:rsid w:val="00DF38E2"/>
    <w:rsid w:val="00E04CC9"/>
    <w:rsid w:val="00E34ED1"/>
    <w:rsid w:val="00E43DB9"/>
    <w:rsid w:val="00E775D0"/>
    <w:rsid w:val="00E77EE2"/>
    <w:rsid w:val="00E93030"/>
    <w:rsid w:val="00EC7C69"/>
    <w:rsid w:val="00EE677D"/>
    <w:rsid w:val="00F16FD7"/>
    <w:rsid w:val="00F64E62"/>
    <w:rsid w:val="00F70B54"/>
    <w:rsid w:val="00FB0189"/>
    <w:rsid w:val="00FC6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1135D783-1E05-4AF5-A1B7-F236C039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6456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45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4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456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64567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164567"/>
    <w:rPr>
      <w:b/>
      <w:bCs/>
    </w:rPr>
  </w:style>
  <w:style w:type="character" w:styleId="a8">
    <w:name w:val="Hyperlink"/>
    <w:basedOn w:val="a0"/>
    <w:uiPriority w:val="99"/>
    <w:unhideWhenUsed/>
    <w:rsid w:val="00164567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1645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854F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854F0"/>
    <w:rPr>
      <w:sz w:val="18"/>
      <w:szCs w:val="18"/>
    </w:rPr>
  </w:style>
  <w:style w:type="table" w:styleId="ac">
    <w:name w:val="Table Grid"/>
    <w:basedOn w:val="a1"/>
    <w:uiPriority w:val="59"/>
    <w:qFormat/>
    <w:rsid w:val="004656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515</Words>
  <Characters>2941</Characters>
  <Application>Microsoft Office Word</Application>
  <DocSecurity>0</DocSecurity>
  <Lines>24</Lines>
  <Paragraphs>6</Paragraphs>
  <ScaleCrop>false</ScaleCrop>
  <Company>浙江省教育厅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lv zhou</cp:lastModifiedBy>
  <cp:revision>2</cp:revision>
  <cp:lastPrinted>2018-11-09T10:50:00Z</cp:lastPrinted>
  <dcterms:created xsi:type="dcterms:W3CDTF">2018-11-12T03:13:00Z</dcterms:created>
  <dcterms:modified xsi:type="dcterms:W3CDTF">2018-11-12T03:13:00Z</dcterms:modified>
</cp:coreProperties>
</file>